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952E1">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附件</w:t>
      </w:r>
    </w:p>
    <w:p w14:paraId="767D399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outlineLvl w:val="0"/>
        <w:rPr>
          <w:rFonts w:hint="default" w:ascii="Times New Roman" w:hAnsi="Times New Roman" w:eastAsia="方正小标宋简体" w:cs="Times New Roman"/>
          <w:color w:val="000000"/>
          <w:sz w:val="44"/>
          <w:szCs w:val="44"/>
          <w:highlight w:val="none"/>
          <w:u w:val="none"/>
          <w:lang w:val="en-US" w:eastAsia="zh-CN"/>
        </w:rPr>
      </w:pPr>
    </w:p>
    <w:p w14:paraId="3DBFEBA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outlineLvl w:val="0"/>
        <w:rPr>
          <w:rFonts w:hint="default" w:ascii="Times New Roman" w:hAnsi="Times New Roman" w:eastAsia="方正小标宋简体" w:cs="Times New Roman"/>
          <w:color w:val="000000"/>
          <w:sz w:val="44"/>
          <w:szCs w:val="44"/>
          <w:highlight w:val="none"/>
          <w:u w:val="none"/>
          <w:lang w:val="en-US" w:eastAsia="zh-CN"/>
        </w:rPr>
      </w:pPr>
      <w:r>
        <w:rPr>
          <w:rFonts w:hint="default" w:ascii="Times New Roman" w:hAnsi="Times New Roman" w:eastAsia="方正小标宋简体" w:cs="Times New Roman"/>
          <w:color w:val="000000"/>
          <w:sz w:val="44"/>
          <w:szCs w:val="44"/>
          <w:highlight w:val="none"/>
          <w:u w:val="none"/>
          <w:lang w:val="en-US" w:eastAsia="zh-CN"/>
        </w:rPr>
        <w:t>贵州省定点医药机构相关人员</w:t>
      </w:r>
    </w:p>
    <w:p w14:paraId="00D4362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outlineLvl w:val="0"/>
        <w:rPr>
          <w:rFonts w:hint="default" w:ascii="Times New Roman" w:hAnsi="Times New Roman" w:eastAsia="方正小标宋简体" w:cs="Times New Roman"/>
          <w:color w:val="000000"/>
          <w:sz w:val="44"/>
          <w:szCs w:val="44"/>
          <w:highlight w:val="none"/>
          <w:u w:val="none"/>
          <w:lang w:val="en-US" w:eastAsia="zh-CN"/>
        </w:rPr>
      </w:pPr>
      <w:r>
        <w:rPr>
          <w:rFonts w:hint="default" w:ascii="Times New Roman" w:hAnsi="Times New Roman" w:eastAsia="方正小标宋简体" w:cs="Times New Roman"/>
          <w:color w:val="000000"/>
          <w:sz w:val="44"/>
          <w:szCs w:val="44"/>
          <w:highlight w:val="none"/>
          <w:u w:val="none"/>
          <w:lang w:val="en-US" w:eastAsia="zh-CN"/>
        </w:rPr>
        <w:t>医保支付资格管理记分规则</w:t>
      </w:r>
    </w:p>
    <w:p w14:paraId="5CD9C77D">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000000"/>
          <w:sz w:val="32"/>
          <w:szCs w:val="32"/>
          <w:highlight w:val="none"/>
          <w:u w:val="none"/>
          <w:lang w:val="en-US" w:eastAsia="zh-CN"/>
        </w:rPr>
      </w:pPr>
    </w:p>
    <w:p w14:paraId="5A07C3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一</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黑体" w:cs="Times New Roman"/>
          <w:color w:val="000000"/>
          <w:sz w:val="32"/>
          <w:szCs w:val="32"/>
          <w:highlight w:val="none"/>
          <w:u w:val="none"/>
          <w:lang w:val="en-US" w:eastAsia="zh-CN"/>
        </w:rPr>
        <w:t>涉及医疗保障基金使用的相关责任人员出现以下负面情形</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黑体" w:cs="Times New Roman"/>
          <w:color w:val="000000"/>
          <w:sz w:val="32"/>
          <w:szCs w:val="32"/>
          <w:highlight w:val="none"/>
          <w:u w:val="none"/>
          <w:lang w:val="en-US" w:eastAsia="zh-CN"/>
        </w:rPr>
        <w:t>一个自然年度内</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黑体" w:cs="Times New Roman"/>
          <w:color w:val="000000"/>
          <w:sz w:val="32"/>
          <w:szCs w:val="32"/>
          <w:highlight w:val="none"/>
          <w:u w:val="none"/>
          <w:lang w:val="en-US" w:eastAsia="zh-CN"/>
        </w:rPr>
        <w:t>根据行为性质和责任程度，一般责任每次记1分，重要责任每次记2分，主要责任每次记3分：</w:t>
      </w:r>
    </w:p>
    <w:p w14:paraId="7C83F3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u w:val="none"/>
          <w:lang w:val="en-US" w:eastAsia="zh-CN"/>
        </w:rPr>
      </w:pPr>
      <w:r>
        <w:rPr>
          <w:rFonts w:hint="eastAsia" w:ascii="Times New Roman" w:hAnsi="Times New Roman" w:eastAsia="仿宋_GB2312" w:cs="仿宋_GB2312"/>
          <w:color w:val="000000"/>
          <w:sz w:val="32"/>
          <w:szCs w:val="32"/>
          <w:highlight w:val="none"/>
          <w:u w:val="none"/>
          <w:lang w:val="en-US" w:eastAsia="zh-CN"/>
        </w:rPr>
        <w:t>（一）相关人员所在定点医药机构违反服务协议受到医保经办机构协议处理，协议处理方式包括：以2号令第三十八条第（四）款“要求定点医疗机构按照协议约定支付违约金”、3号令第三十五条第（三）款“要求定点零售药店按照医保协议约定支付违约金”，该人员负有责任的。</w:t>
      </w:r>
    </w:p>
    <w:p w14:paraId="16B64E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u w:val="none"/>
          <w:lang w:val="en-US" w:eastAsia="zh-CN"/>
        </w:rPr>
      </w:pPr>
      <w:r>
        <w:rPr>
          <w:rFonts w:hint="eastAsia" w:ascii="Times New Roman" w:hAnsi="Times New Roman" w:eastAsia="仿宋_GB2312" w:cs="仿宋_GB2312"/>
          <w:color w:val="000000"/>
          <w:sz w:val="32"/>
          <w:szCs w:val="32"/>
          <w:highlight w:val="none"/>
          <w:u w:val="none"/>
          <w:lang w:val="en-US" w:eastAsia="zh-CN"/>
        </w:rPr>
        <w:t>（二）执行药品耗材集中带量采购政策中，公立医疗机构相关人员无正当理由超过规定要求使用高价非中选产品，被医保部门通报。</w:t>
      </w:r>
    </w:p>
    <w:p w14:paraId="7A8A63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二</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黑体" w:cs="Times New Roman"/>
          <w:color w:val="000000"/>
          <w:sz w:val="32"/>
          <w:szCs w:val="32"/>
          <w:highlight w:val="none"/>
          <w:u w:val="none"/>
          <w:lang w:val="en-US" w:eastAsia="zh-CN"/>
        </w:rPr>
        <w:t>涉及医疗保障基金使用的相关责任人员出现以下负面情形</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黑体" w:cs="Times New Roman"/>
          <w:color w:val="000000"/>
          <w:sz w:val="32"/>
          <w:szCs w:val="32"/>
          <w:highlight w:val="none"/>
          <w:u w:val="none"/>
          <w:lang w:val="en-US" w:eastAsia="zh-CN"/>
        </w:rPr>
        <w:t>一个自然年度内</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黑体" w:cs="Times New Roman"/>
          <w:color w:val="000000"/>
          <w:sz w:val="32"/>
          <w:szCs w:val="32"/>
          <w:highlight w:val="none"/>
          <w:u w:val="none"/>
          <w:lang w:val="en-US" w:eastAsia="zh-CN"/>
        </w:rPr>
        <w:t>根据行为性质和负有的责任程度，一般责任每次记4分，重要责任每次记5分，主要责任每次记6分：</w:t>
      </w:r>
    </w:p>
    <w:p w14:paraId="51AA57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相关人员所在定点医药机构或科室涉及违反医疗保障相关法律法规，受到医疗保障行政部门依据《条例》第三十八条、第三十九条作出行政处罚，该人员负有责任的。</w:t>
      </w:r>
    </w:p>
    <w:p w14:paraId="3059DD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三</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黑体" w:cs="Times New Roman"/>
          <w:color w:val="000000"/>
          <w:sz w:val="32"/>
          <w:szCs w:val="32"/>
          <w:highlight w:val="none"/>
          <w:u w:val="none"/>
          <w:lang w:val="en-US" w:eastAsia="zh-CN"/>
        </w:rPr>
        <w:t>涉及医疗保障基金使用的相关人员出现以下负面情形</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黑体" w:cs="Times New Roman"/>
          <w:color w:val="000000"/>
          <w:sz w:val="32"/>
          <w:szCs w:val="32"/>
          <w:highlight w:val="none"/>
          <w:u w:val="none"/>
          <w:lang w:val="en-US" w:eastAsia="zh-CN"/>
        </w:rPr>
        <w:t>一个自然年度内</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黑体" w:cs="Times New Roman"/>
          <w:color w:val="000000"/>
          <w:sz w:val="32"/>
          <w:szCs w:val="32"/>
          <w:highlight w:val="none"/>
          <w:u w:val="none"/>
          <w:lang w:val="en-US" w:eastAsia="zh-CN"/>
        </w:rPr>
        <w:t>根据行为性质和负有</w:t>
      </w:r>
      <w:r>
        <w:rPr>
          <w:rFonts w:hint="default" w:ascii="Times New Roman" w:hAnsi="Times New Roman" w:eastAsia="黑体" w:cs="Times New Roman"/>
          <w:i w:val="0"/>
          <w:iCs w:val="0"/>
          <w:caps w:val="0"/>
          <w:color w:val="000000"/>
          <w:spacing w:val="0"/>
          <w:kern w:val="2"/>
          <w:sz w:val="32"/>
          <w:szCs w:val="32"/>
          <w:highlight w:val="none"/>
          <w:u w:val="none"/>
          <w:shd w:val="clear" w:color="auto" w:fill="auto"/>
          <w:lang w:val="en-US" w:eastAsia="zh-CN" w:bidi="ar"/>
        </w:rPr>
        <w:t>责任程度，一般责任每次记7分，重要责任每次记8分，主要责任每次记9分</w:t>
      </w:r>
      <w:r>
        <w:rPr>
          <w:rFonts w:hint="default" w:ascii="Times New Roman" w:hAnsi="Times New Roman" w:eastAsia="黑体" w:cs="Times New Roman"/>
          <w:color w:val="000000"/>
          <w:sz w:val="32"/>
          <w:szCs w:val="32"/>
          <w:highlight w:val="none"/>
          <w:u w:val="none"/>
          <w:lang w:val="en-US" w:eastAsia="zh-CN"/>
        </w:rPr>
        <w:t>：</w:t>
      </w:r>
    </w:p>
    <w:p w14:paraId="29A69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u w:val="none"/>
          <w:lang w:val="en-US" w:eastAsia="zh-CN"/>
        </w:rPr>
      </w:pPr>
      <w:r>
        <w:rPr>
          <w:rFonts w:hint="eastAsia" w:ascii="Times New Roman" w:hAnsi="Times New Roman" w:eastAsia="仿宋_GB2312" w:cs="仿宋_GB2312"/>
          <w:color w:val="000000"/>
          <w:sz w:val="32"/>
          <w:szCs w:val="32"/>
          <w:highlight w:val="none"/>
          <w:u w:val="none"/>
          <w:lang w:val="en-US" w:eastAsia="zh-CN"/>
        </w:rPr>
        <w:t>（一）具有医保支付资格的相关人员为非登记备案相关人员，或登记备案状态为暂停、终止的相关责任人员，冒名提供医保费用结算的。</w:t>
      </w:r>
    </w:p>
    <w:p w14:paraId="73D265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u w:val="none"/>
          <w:lang w:val="en-US" w:eastAsia="zh-CN"/>
        </w:rPr>
      </w:pPr>
      <w:r>
        <w:rPr>
          <w:rFonts w:hint="eastAsia" w:ascii="Times New Roman" w:hAnsi="Times New Roman" w:eastAsia="仿宋_GB2312" w:cs="仿宋_GB2312"/>
          <w:color w:val="000000"/>
          <w:sz w:val="32"/>
          <w:szCs w:val="32"/>
          <w:highlight w:val="none"/>
          <w:u w:val="none"/>
          <w:lang w:val="en-US" w:eastAsia="zh-CN"/>
        </w:rPr>
        <w:t>（二）</w:t>
      </w:r>
      <w:r>
        <w:rPr>
          <w:rFonts w:hint="eastAsia" w:ascii="Times New Roman" w:hAnsi="Times New Roman" w:eastAsia="仿宋_GB2312" w:cs="仿宋_GB2312"/>
          <w:i w:val="0"/>
          <w:iCs w:val="0"/>
          <w:caps w:val="0"/>
          <w:color w:val="000000"/>
          <w:spacing w:val="0"/>
          <w:kern w:val="0"/>
          <w:sz w:val="32"/>
          <w:szCs w:val="32"/>
          <w:highlight w:val="none"/>
          <w:u w:val="none"/>
          <w:shd w:val="clear" w:color="auto" w:fill="FFFFFF"/>
          <w:lang w:val="en-US" w:eastAsia="zh-CN" w:bidi="ar"/>
        </w:rPr>
        <w:t>相关人员所在定点医药机构或部门（科室）被中止（责令暂停）医保协议、中止（责令暂停）涉及医疗保障基金使用的医疗服务，该人员负有责任的。</w:t>
      </w:r>
    </w:p>
    <w:p w14:paraId="4E271D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四</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黑体" w:cs="Times New Roman"/>
          <w:color w:val="000000"/>
          <w:sz w:val="32"/>
          <w:szCs w:val="32"/>
          <w:highlight w:val="none"/>
          <w:u w:val="none"/>
          <w:lang w:val="en-US" w:eastAsia="zh-CN"/>
        </w:rPr>
        <w:t>涉及医疗保障基金使用的相关人员出现以下负面情形</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黑体" w:cs="Times New Roman"/>
          <w:color w:val="000000"/>
          <w:sz w:val="32"/>
          <w:szCs w:val="32"/>
          <w:highlight w:val="none"/>
          <w:u w:val="none"/>
          <w:lang w:val="en-US" w:eastAsia="zh-CN"/>
        </w:rPr>
        <w:t>一个自然年度内</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黑体" w:cs="Times New Roman"/>
          <w:color w:val="000000"/>
          <w:sz w:val="32"/>
          <w:szCs w:val="32"/>
          <w:highlight w:val="none"/>
          <w:u w:val="none"/>
          <w:lang w:val="en-US" w:eastAsia="zh-CN"/>
        </w:rPr>
        <w:t>根据行为性质和负有</w:t>
      </w:r>
      <w:r>
        <w:rPr>
          <w:rFonts w:hint="default" w:ascii="Times New Roman" w:hAnsi="Times New Roman" w:eastAsia="黑体" w:cs="Times New Roman"/>
          <w:i w:val="0"/>
          <w:iCs w:val="0"/>
          <w:caps w:val="0"/>
          <w:color w:val="000000"/>
          <w:spacing w:val="0"/>
          <w:kern w:val="2"/>
          <w:sz w:val="32"/>
          <w:szCs w:val="32"/>
          <w:highlight w:val="none"/>
          <w:u w:val="none"/>
          <w:shd w:val="clear" w:color="auto" w:fill="auto"/>
          <w:lang w:val="en-US" w:eastAsia="zh-CN" w:bidi="ar"/>
        </w:rPr>
        <w:t>责任程度，一般责任每次记10分，重要责任每次记11分，主要责任每次记12分</w:t>
      </w:r>
      <w:r>
        <w:rPr>
          <w:rFonts w:hint="default" w:ascii="Times New Roman" w:hAnsi="Times New Roman" w:eastAsia="黑体" w:cs="Times New Roman"/>
          <w:color w:val="000000"/>
          <w:sz w:val="32"/>
          <w:szCs w:val="32"/>
          <w:highlight w:val="none"/>
          <w:u w:val="none"/>
          <w:lang w:val="en-US" w:eastAsia="zh-CN"/>
        </w:rPr>
        <w:t>：</w:t>
      </w:r>
    </w:p>
    <w:p w14:paraId="6F3F40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u w:val="none"/>
          <w:lang w:val="en-US" w:eastAsia="zh-CN"/>
        </w:rPr>
      </w:pPr>
      <w:r>
        <w:rPr>
          <w:rFonts w:hint="eastAsia" w:ascii="Times New Roman" w:hAnsi="Times New Roman" w:eastAsia="仿宋_GB2312" w:cs="仿宋_GB2312"/>
          <w:color w:val="000000"/>
          <w:sz w:val="32"/>
          <w:szCs w:val="32"/>
          <w:highlight w:val="none"/>
          <w:u w:val="none"/>
          <w:lang w:val="en-US" w:eastAsia="zh-CN"/>
        </w:rPr>
        <w:t>（一）相关人员所在定点医药机构或部门（科室）涉及违反医疗保障相关法律法规，受到医疗保障行政部门依据《条例》第四十条作出行政处罚，该人员负有责任的。</w:t>
      </w:r>
    </w:p>
    <w:p w14:paraId="09A2A81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highlight w:val="none"/>
          <w:u w:val="none"/>
          <w:lang w:val="en-US" w:eastAsia="zh-CN"/>
        </w:rPr>
      </w:pPr>
      <w:r>
        <w:rPr>
          <w:rFonts w:hint="eastAsia" w:ascii="Times New Roman" w:hAnsi="Times New Roman" w:eastAsia="仿宋_GB2312" w:cs="仿宋_GB2312"/>
          <w:i w:val="0"/>
          <w:iCs w:val="0"/>
          <w:caps w:val="0"/>
          <w:color w:val="000000"/>
          <w:spacing w:val="0"/>
          <w:sz w:val="32"/>
          <w:szCs w:val="32"/>
          <w:highlight w:val="none"/>
          <w:u w:val="none"/>
          <w:shd w:val="clear" w:color="auto" w:fill="FFFFFF"/>
        </w:rPr>
        <w:t>（二）相关人员所在定点医药机构被解除服务协议，该人员负有责任的</w:t>
      </w:r>
      <w:r>
        <w:rPr>
          <w:rFonts w:hint="eastAsia" w:ascii="Times New Roman" w:hAnsi="Times New Roman" w:eastAsia="仿宋_GB2312" w:cs="仿宋_GB2312"/>
          <w:i w:val="0"/>
          <w:iCs w:val="0"/>
          <w:caps w:val="0"/>
          <w:color w:val="000000"/>
          <w:spacing w:val="0"/>
          <w:sz w:val="32"/>
          <w:szCs w:val="32"/>
          <w:highlight w:val="none"/>
          <w:u w:val="none"/>
          <w:shd w:val="clear" w:color="auto" w:fill="FFFFFF"/>
          <w:lang w:eastAsia="zh-CN"/>
        </w:rPr>
        <w:t>。</w:t>
      </w:r>
    </w:p>
    <w:p w14:paraId="3391FE1C">
      <w:pPr>
        <w:pStyle w:val="4"/>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 w:cs="Times New Roman"/>
          <w:color w:val="000000"/>
          <w:kern w:val="2"/>
          <w:sz w:val="32"/>
          <w:szCs w:val="32"/>
          <w:highlight w:val="none"/>
          <w:u w:val="none"/>
          <w:shd w:val="clear" w:color="auto" w:fill="FFFFFF"/>
          <w:lang w:val="en-US" w:eastAsia="zh-CN"/>
        </w:rPr>
      </w:pPr>
      <w:r>
        <w:rPr>
          <w:rFonts w:hint="default" w:ascii="Times New Roman" w:hAnsi="Times New Roman" w:eastAsia="黑体" w:cs="Times New Roman"/>
          <w:color w:val="000000"/>
          <w:sz w:val="32"/>
          <w:szCs w:val="32"/>
          <w:highlight w:val="none"/>
          <w:u w:val="none"/>
          <w:lang w:val="en-US" w:eastAsia="zh-CN"/>
        </w:rPr>
        <w:t>五</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黑体" w:cs="Times New Roman"/>
          <w:color w:val="000000"/>
          <w:sz w:val="32"/>
          <w:szCs w:val="32"/>
          <w:highlight w:val="none"/>
          <w:u w:val="none"/>
          <w:lang w:val="en-US" w:eastAsia="zh-CN"/>
        </w:rPr>
        <w:t>涉及医疗保障基金使用的相关人员出现以下负面情形</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黑体" w:cs="Times New Roman"/>
          <w:color w:val="000000"/>
          <w:sz w:val="32"/>
          <w:szCs w:val="32"/>
          <w:highlight w:val="none"/>
          <w:u w:val="none"/>
          <w:lang w:val="en-US" w:eastAsia="zh-CN"/>
        </w:rPr>
        <w:t>一个自然年度内</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黑体" w:cs="Times New Roman"/>
          <w:color w:val="000000"/>
          <w:kern w:val="0"/>
          <w:sz w:val="32"/>
          <w:szCs w:val="32"/>
          <w:highlight w:val="none"/>
          <w:u w:val="none"/>
          <w:shd w:val="clear" w:color="auto" w:fill="auto"/>
          <w:lang w:val="en-US" w:eastAsia="zh-CN"/>
        </w:rPr>
        <w:t>一次记</w:t>
      </w:r>
      <w:r>
        <w:rPr>
          <w:rFonts w:hint="default" w:ascii="Times New Roman" w:hAnsi="Times New Roman" w:eastAsia="仿宋" w:cs="Times New Roman"/>
          <w:color w:val="000000"/>
          <w:kern w:val="2"/>
          <w:sz w:val="32"/>
          <w:szCs w:val="32"/>
          <w:highlight w:val="none"/>
          <w:u w:val="none"/>
          <w:shd w:val="clear" w:color="auto" w:fill="FFFFFF"/>
          <w:lang w:val="en-US" w:eastAsia="zh-CN"/>
        </w:rPr>
        <w:t>12</w:t>
      </w:r>
      <w:r>
        <w:rPr>
          <w:rFonts w:hint="default" w:ascii="Times New Roman" w:hAnsi="Times New Roman" w:eastAsia="黑体" w:cs="Times New Roman"/>
          <w:color w:val="000000"/>
          <w:kern w:val="0"/>
          <w:sz w:val="32"/>
          <w:szCs w:val="32"/>
          <w:highlight w:val="none"/>
          <w:u w:val="none"/>
          <w:shd w:val="clear" w:color="auto" w:fill="auto"/>
          <w:lang w:val="en-US" w:eastAsia="zh-CN"/>
        </w:rPr>
        <w:t>分</w:t>
      </w:r>
      <w:r>
        <w:rPr>
          <w:rFonts w:hint="default" w:ascii="Times New Roman" w:hAnsi="Times New Roman" w:eastAsia="仿宋" w:cs="Times New Roman"/>
          <w:color w:val="000000"/>
          <w:kern w:val="2"/>
          <w:sz w:val="32"/>
          <w:szCs w:val="32"/>
          <w:highlight w:val="none"/>
          <w:u w:val="none"/>
          <w:shd w:val="clear" w:color="auto" w:fill="FFFFFF"/>
          <w:lang w:val="en-US" w:eastAsia="zh-CN"/>
        </w:rPr>
        <w:t>。</w:t>
      </w:r>
    </w:p>
    <w:p w14:paraId="0634D1F4">
      <w:pPr>
        <w:pStyle w:val="4"/>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仿宋_GB2312" w:cs="仿宋_GB2312"/>
          <w:color w:val="000000"/>
          <w:kern w:val="2"/>
          <w:sz w:val="32"/>
          <w:szCs w:val="32"/>
          <w:highlight w:val="none"/>
          <w:u w:val="none"/>
          <w:shd w:val="clear" w:color="auto" w:fill="FFFFFF"/>
          <w:lang w:val="en-US" w:eastAsia="zh-CN"/>
        </w:rPr>
      </w:pPr>
      <w:r>
        <w:rPr>
          <w:rFonts w:hint="eastAsia" w:ascii="Times New Roman" w:hAnsi="Times New Roman" w:eastAsia="仿宋_GB2312" w:cs="仿宋_GB2312"/>
          <w:i w:val="0"/>
          <w:iCs w:val="0"/>
          <w:caps w:val="0"/>
          <w:color w:val="000000"/>
          <w:spacing w:val="0"/>
          <w:kern w:val="2"/>
          <w:sz w:val="32"/>
          <w:szCs w:val="32"/>
          <w:highlight w:val="none"/>
          <w:u w:val="none"/>
          <w:shd w:val="clear" w:color="auto" w:fill="FFFFFF"/>
          <w:lang w:eastAsia="zh-CN"/>
        </w:rPr>
        <w:t>（</w:t>
      </w:r>
      <w:r>
        <w:rPr>
          <w:rFonts w:hint="eastAsia" w:ascii="Times New Roman" w:hAnsi="Times New Roman" w:eastAsia="仿宋_GB2312" w:cs="仿宋_GB2312"/>
          <w:i w:val="0"/>
          <w:iCs w:val="0"/>
          <w:caps w:val="0"/>
          <w:color w:val="000000"/>
          <w:spacing w:val="0"/>
          <w:kern w:val="2"/>
          <w:sz w:val="32"/>
          <w:szCs w:val="32"/>
          <w:highlight w:val="none"/>
          <w:u w:val="none"/>
          <w:shd w:val="clear" w:color="auto" w:fill="FFFFFF"/>
          <w:lang w:val="en-US" w:eastAsia="zh-CN"/>
        </w:rPr>
        <w:t>一</w:t>
      </w:r>
      <w:r>
        <w:rPr>
          <w:rFonts w:hint="eastAsia" w:ascii="Times New Roman" w:hAnsi="Times New Roman" w:eastAsia="仿宋_GB2312" w:cs="仿宋_GB2312"/>
          <w:i w:val="0"/>
          <w:iCs w:val="0"/>
          <w:caps w:val="0"/>
          <w:color w:val="000000"/>
          <w:spacing w:val="0"/>
          <w:kern w:val="2"/>
          <w:sz w:val="32"/>
          <w:szCs w:val="32"/>
          <w:highlight w:val="none"/>
          <w:u w:val="none"/>
          <w:shd w:val="clear" w:color="auto" w:fill="FFFFFF"/>
          <w:lang w:eastAsia="zh-CN"/>
        </w:rPr>
        <w:t>）</w:t>
      </w:r>
      <w:r>
        <w:rPr>
          <w:rFonts w:hint="eastAsia" w:ascii="Times New Roman" w:hAnsi="Times New Roman" w:eastAsia="仿宋_GB2312" w:cs="仿宋_GB2312"/>
          <w:i w:val="0"/>
          <w:iCs w:val="0"/>
          <w:caps w:val="0"/>
          <w:color w:val="000000"/>
          <w:spacing w:val="0"/>
          <w:kern w:val="2"/>
          <w:sz w:val="32"/>
          <w:szCs w:val="32"/>
          <w:highlight w:val="none"/>
          <w:u w:val="none"/>
          <w:shd w:val="clear" w:color="auto" w:fill="FFFFFF"/>
          <w:lang w:val="en-US" w:eastAsia="zh-CN"/>
        </w:rPr>
        <w:t>相关人员</w:t>
      </w:r>
      <w:r>
        <w:rPr>
          <w:rFonts w:hint="eastAsia" w:ascii="Times New Roman" w:hAnsi="Times New Roman" w:eastAsia="仿宋_GB2312" w:cs="仿宋_GB2312"/>
          <w:i w:val="0"/>
          <w:iCs w:val="0"/>
          <w:caps w:val="0"/>
          <w:color w:val="000000"/>
          <w:spacing w:val="0"/>
          <w:kern w:val="2"/>
          <w:sz w:val="32"/>
          <w:szCs w:val="32"/>
          <w:highlight w:val="none"/>
          <w:u w:val="none"/>
          <w:shd w:val="clear" w:color="auto" w:fill="FFFFFF"/>
          <w:lang w:eastAsia="zh-CN"/>
        </w:rPr>
        <w:t>以骗取医疗保障基金为目的，实施了</w:t>
      </w:r>
      <w:r>
        <w:rPr>
          <w:rFonts w:hint="eastAsia" w:ascii="Times New Roman" w:hAnsi="Times New Roman" w:eastAsia="仿宋_GB2312" w:cs="仿宋_GB2312"/>
          <w:color w:val="000000"/>
          <w:kern w:val="2"/>
          <w:sz w:val="32"/>
          <w:szCs w:val="32"/>
          <w:highlight w:val="none"/>
          <w:u w:val="none"/>
          <w:shd w:val="clear" w:color="auto" w:fill="FFFFFF"/>
          <w:lang w:val="en-US" w:eastAsia="zh-CN"/>
        </w:rPr>
        <w:t>《条例》第四十一条</w:t>
      </w:r>
      <w:r>
        <w:rPr>
          <w:rFonts w:hint="eastAsia" w:ascii="Times New Roman" w:hAnsi="Times New Roman" w:eastAsia="仿宋_GB2312" w:cs="仿宋_GB2312"/>
          <w:i w:val="0"/>
          <w:iCs w:val="0"/>
          <w:caps w:val="0"/>
          <w:color w:val="000000"/>
          <w:spacing w:val="0"/>
          <w:kern w:val="2"/>
          <w:sz w:val="32"/>
          <w:szCs w:val="32"/>
          <w:highlight w:val="none"/>
          <w:u w:val="none"/>
          <w:shd w:val="clear" w:color="auto" w:fill="FFFFFF"/>
          <w:lang w:eastAsia="zh-CN"/>
        </w:rPr>
        <w:t>规定行为之一</w:t>
      </w:r>
      <w:r>
        <w:rPr>
          <w:rFonts w:hint="eastAsia" w:ascii="Times New Roman" w:hAnsi="Times New Roman" w:eastAsia="仿宋_GB2312" w:cs="仿宋_GB2312"/>
          <w:i w:val="0"/>
          <w:iCs w:val="0"/>
          <w:caps w:val="0"/>
          <w:color w:val="000000"/>
          <w:spacing w:val="0"/>
          <w:kern w:val="2"/>
          <w:sz w:val="32"/>
          <w:szCs w:val="32"/>
          <w:highlight w:val="none"/>
          <w:u w:val="none"/>
          <w:shd w:val="clear" w:color="auto" w:fill="FFFFFF"/>
          <w:lang w:val="en-US" w:eastAsia="zh-CN"/>
        </w:rPr>
        <w:t>的</w:t>
      </w:r>
      <w:r>
        <w:rPr>
          <w:rFonts w:hint="eastAsia" w:ascii="Times New Roman" w:hAnsi="Times New Roman" w:eastAsia="仿宋_GB2312" w:cs="仿宋_GB2312"/>
          <w:color w:val="000000"/>
          <w:kern w:val="2"/>
          <w:sz w:val="32"/>
          <w:szCs w:val="32"/>
          <w:highlight w:val="none"/>
          <w:u w:val="none"/>
          <w:shd w:val="clear" w:color="auto" w:fill="FFFFFF"/>
          <w:lang w:val="en-US" w:eastAsia="zh-CN"/>
        </w:rPr>
        <w:t>。</w:t>
      </w:r>
    </w:p>
    <w:p w14:paraId="725AC2C6">
      <w:pPr>
        <w:pStyle w:val="4"/>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仿宋_GB2312" w:cs="仿宋_GB2312"/>
          <w:color w:val="000000"/>
          <w:kern w:val="2"/>
          <w:sz w:val="32"/>
          <w:szCs w:val="32"/>
          <w:highlight w:val="none"/>
          <w:u w:val="none"/>
          <w:shd w:val="clear" w:color="auto" w:fill="FFFFFF"/>
          <w:lang w:eastAsia="zh-CN"/>
        </w:rPr>
      </w:pPr>
      <w:r>
        <w:rPr>
          <w:rFonts w:hint="eastAsia" w:ascii="Times New Roman" w:hAnsi="Times New Roman" w:eastAsia="仿宋_GB2312" w:cs="仿宋_GB2312"/>
          <w:color w:val="000000"/>
          <w:kern w:val="2"/>
          <w:sz w:val="32"/>
          <w:szCs w:val="32"/>
          <w:highlight w:val="none"/>
          <w:u w:val="none"/>
          <w:shd w:val="clear" w:color="auto" w:fill="FFFFFF"/>
          <w:lang w:val="en-US" w:eastAsia="zh-CN"/>
        </w:rPr>
        <w:t>（二）因实施违法行为被行业主管部门注销注册、吊销或撤销卫生专业技术资格证书或执业证书的。</w:t>
      </w:r>
    </w:p>
    <w:p w14:paraId="27F2751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25616A-9110-4A99-92FD-C76373B5FC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197F241-8B1C-45D9-9465-3C6B3DCF8664}"/>
  </w:font>
  <w:font w:name="仿宋_GB2312">
    <w:altName w:val="仿宋"/>
    <w:panose1 w:val="02010609030101010101"/>
    <w:charset w:val="86"/>
    <w:family w:val="auto"/>
    <w:pitch w:val="default"/>
    <w:sig w:usb0="00000000" w:usb1="00000000" w:usb2="00000000" w:usb3="00000000" w:csb0="00040000" w:csb1="00000000"/>
    <w:embedRegular r:id="rId3" w:fontKey="{15C990FA-DD03-4C82-931A-D6BADF6B2EB9}"/>
  </w:font>
  <w:font w:name="方正小标宋简体">
    <w:panose1 w:val="02010600010101010101"/>
    <w:charset w:val="86"/>
    <w:family w:val="auto"/>
    <w:pitch w:val="default"/>
    <w:sig w:usb0="00000001" w:usb1="080E0000" w:usb2="00000000" w:usb3="00000000" w:csb0="00040000" w:csb1="00000000"/>
    <w:embedRegular r:id="rId4" w:fontKey="{22AE00B2-E62A-4050-820B-A7088833E0AD}"/>
  </w:font>
  <w:font w:name="仿宋">
    <w:panose1 w:val="02010609060101010101"/>
    <w:charset w:val="86"/>
    <w:family w:val="modern"/>
    <w:pitch w:val="default"/>
    <w:sig w:usb0="800002BF" w:usb1="38CF7CFA" w:usb2="00000016" w:usb3="00000000" w:csb0="00040001" w:csb1="00000000"/>
    <w:embedRegular r:id="rId5" w:fontKey="{C91B309A-C171-4224-AAB9-7DBD1D16B73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52ED6"/>
    <w:rsid w:val="6BC52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sz w:val="30"/>
    </w:rPr>
  </w:style>
  <w:style w:type="paragraph" w:styleId="3">
    <w:name w:val="table of authorities"/>
    <w:basedOn w:val="1"/>
    <w:next w:val="1"/>
    <w:qFormat/>
    <w:uiPriority w:val="0"/>
    <w:pPr>
      <w:ind w:left="200" w:leftChars="200"/>
    </w:pPr>
  </w:style>
  <w:style w:type="paragraph" w:styleId="4">
    <w:name w:val="Body Text"/>
    <w:basedOn w:val="1"/>
    <w:next w:val="5"/>
    <w:qFormat/>
    <w:uiPriority w:val="1"/>
    <w:pPr>
      <w:autoSpaceDE w:val="0"/>
      <w:autoSpaceDN w:val="0"/>
      <w:jc w:val="left"/>
    </w:pPr>
    <w:rPr>
      <w:rFonts w:ascii="仿宋_GB2312" w:hAnsi="仿宋_GB2312" w:eastAsia="仿宋_GB2312" w:cs="仿宋_GB2312"/>
      <w:kern w:val="0"/>
      <w:sz w:val="32"/>
      <w:szCs w:val="32"/>
      <w:lang w:val="zh-CN" w:bidi="zh-CN"/>
    </w:rPr>
  </w:style>
  <w:style w:type="paragraph" w:customStyle="1" w:styleId="5">
    <w:name w:val="Char2 Char Char Char Char Char Char"/>
    <w:next w:val="6"/>
    <w:qFormat/>
    <w:uiPriority w:val="0"/>
    <w:pPr>
      <w:widowControl w:val="0"/>
      <w:autoSpaceDE w:val="0"/>
      <w:autoSpaceDN w:val="0"/>
      <w:adjustRightInd w:val="0"/>
      <w:snapToGrid w:val="0"/>
      <w:spacing w:line="360" w:lineRule="auto"/>
      <w:ind w:firstLine="200" w:firstLineChars="200"/>
      <w:jc w:val="both"/>
    </w:pPr>
    <w:rPr>
      <w:rFonts w:ascii="Times New Roman" w:hAnsi="Times New Roman" w:eastAsia="宋体" w:cs="Times New Roman"/>
      <w:color w:val="000000"/>
      <w:kern w:val="2"/>
      <w:sz w:val="24"/>
      <w:szCs w:val="22"/>
      <w:lang w:val="en-US" w:eastAsia="zh-CN" w:bidi="ar-SA"/>
    </w:rPr>
  </w:style>
  <w:style w:type="paragraph" w:styleId="6">
    <w:name w:val="footer"/>
    <w:basedOn w:val="1"/>
    <w:next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2025-11-25T09:49:00Z</dcterms:created>
  <dc:creator>明明你</dc:creator>
  <cp:lastModifiedBy>明明你</cp:lastModifiedBy>
  <dcterms:modified xsi:type="dcterms:W3CDTF">2025-11-25T09:50:08Z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1F14F060D3DF40CCB4BA3C42E239E1BF_11</vt:lpwstr>
  </property>
  <property fmtid="{D5CDD505-2E9C-101B-9397-08002B2CF9AE}" pid="4" name="KSOTemplateDocerSaveRecord">
    <vt:lpwstr>eyJoZGlkIjoiZjRmMzdkOWI5ODVkYmU1YzY1MWVlOTA4NjIwYzRkNjQiLCJ1c2VySWQiOiI0MzkxMjc2NjUifQ==</vt:lpwstr>
  </property>
</Properties>
</file>