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3CDEB">
      <w:pPr>
        <w:pageBreakBefore w:val="0"/>
        <w:widowControl w:val="0"/>
        <w:kinsoku/>
        <w:wordWrap/>
        <w:overflowPunct/>
        <w:topLinePunct w:val="0"/>
        <w:bidi w:val="0"/>
        <w:spacing w:before="54"/>
        <w:ind w:left="0" w:leftChars="0" w:firstLine="0" w:firstLineChars="0"/>
        <w:jc w:val="left"/>
        <w:textAlignment w:val="auto"/>
        <w:rPr>
          <w:rFonts w:hint="eastAsia" w:ascii="黑体" w:hAnsi="黑体" w:eastAsia="黑体" w:cs="黑体"/>
          <w:color w:val="auto"/>
          <w:spacing w:val="0"/>
          <w:w w:val="100"/>
          <w:kern w:val="0"/>
          <w:sz w:val="32"/>
          <w:szCs w:val="32"/>
          <w:lang w:val="en-US" w:eastAsia="zh-CN" w:bidi="ar-SA"/>
        </w:rPr>
      </w:pPr>
      <w:r>
        <w:rPr>
          <w:rFonts w:hint="eastAsia" w:ascii="黑体" w:hAnsi="黑体" w:eastAsia="黑体" w:cs="黑体"/>
          <w:color w:val="auto"/>
          <w:spacing w:val="0"/>
          <w:w w:val="100"/>
          <w:kern w:val="0"/>
          <w:sz w:val="32"/>
          <w:szCs w:val="32"/>
          <w:lang w:val="en-US" w:eastAsia="en-US" w:bidi="ar-SA"/>
        </w:rPr>
        <w:t>附件</w:t>
      </w:r>
      <w:r>
        <w:rPr>
          <w:rFonts w:hint="eastAsia" w:ascii="黑体" w:hAnsi="黑体" w:eastAsia="黑体" w:cs="黑体"/>
          <w:color w:val="auto"/>
          <w:spacing w:val="0"/>
          <w:w w:val="100"/>
          <w:kern w:val="0"/>
          <w:sz w:val="32"/>
          <w:szCs w:val="32"/>
          <w:lang w:val="en-US" w:eastAsia="zh-CN" w:bidi="ar-SA"/>
        </w:rPr>
        <w:t>1</w:t>
      </w:r>
    </w:p>
    <w:p w14:paraId="1D6E0A15">
      <w:pPr>
        <w:pageBreakBefore w:val="0"/>
        <w:widowControl w:val="0"/>
        <w:kinsoku/>
        <w:wordWrap/>
        <w:overflowPunct/>
        <w:topLinePunct w:val="0"/>
        <w:bidi w:val="0"/>
        <w:spacing w:before="54"/>
        <w:ind w:left="159"/>
        <w:jc w:val="left"/>
        <w:textAlignment w:val="auto"/>
        <w:rPr>
          <w:rFonts w:hint="default" w:ascii="Times New Roman" w:hAnsi="Times New Roman" w:eastAsia="方正小标宋简体" w:cs="Times New Roman"/>
          <w:color w:val="auto"/>
          <w:spacing w:val="0"/>
          <w:w w:val="100"/>
          <w:kern w:val="0"/>
          <w:sz w:val="44"/>
          <w:szCs w:val="44"/>
          <w:lang w:val="en-US" w:eastAsia="zh-CN" w:bidi="ar-SA"/>
        </w:rPr>
      </w:pPr>
    </w:p>
    <w:p w14:paraId="4ABB7A9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小标宋简体" w:cs="Times New Roman"/>
          <w:color w:val="000000"/>
          <w:sz w:val="44"/>
          <w:szCs w:val="44"/>
          <w:highlight w:val="none"/>
          <w:u w:val="none"/>
          <w:lang w:val="en-US" w:eastAsia="zh-CN"/>
        </w:rPr>
      </w:pPr>
      <w:r>
        <w:rPr>
          <w:rFonts w:hint="default" w:ascii="Times New Roman" w:hAnsi="Times New Roman" w:eastAsia="方正小标宋简体" w:cs="Times New Roman"/>
          <w:color w:val="000000"/>
          <w:sz w:val="44"/>
          <w:szCs w:val="44"/>
          <w:highlight w:val="none"/>
          <w:u w:val="none"/>
          <w:lang w:val="en-US" w:eastAsia="zh-CN"/>
        </w:rPr>
        <w:t>贵州省医保基金与医药企业集中采购药品及</w:t>
      </w:r>
    </w:p>
    <w:p w14:paraId="364C094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小标宋简体" w:cs="Times New Roman"/>
          <w:color w:val="000000"/>
          <w:sz w:val="44"/>
          <w:szCs w:val="44"/>
          <w:highlight w:val="none"/>
          <w:u w:val="none"/>
          <w:lang w:val="en-US" w:eastAsia="zh-CN"/>
        </w:rPr>
      </w:pPr>
      <w:r>
        <w:rPr>
          <w:rFonts w:hint="default" w:ascii="Times New Roman" w:hAnsi="Times New Roman" w:eastAsia="方正小标宋简体" w:cs="Times New Roman"/>
          <w:color w:val="000000"/>
          <w:sz w:val="44"/>
          <w:szCs w:val="44"/>
          <w:highlight w:val="none"/>
          <w:u w:val="none"/>
          <w:lang w:val="en-US" w:eastAsia="zh-CN"/>
        </w:rPr>
        <w:t>医用耗材直接结算经办规程（试行）</w:t>
      </w:r>
    </w:p>
    <w:p w14:paraId="3ED53953">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u w:val="none"/>
          <w:shd w:val="clear" w:color="auto" w:fill="auto"/>
        </w:rPr>
      </w:pPr>
    </w:p>
    <w:p w14:paraId="5F6E2EF3">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u w:val="none"/>
          <w:shd w:val="clear" w:color="auto" w:fill="auto"/>
        </w:rPr>
      </w:pPr>
      <w:r>
        <w:rPr>
          <w:rFonts w:hint="eastAsia" w:ascii="Times New Roman" w:hAnsi="Times New Roman" w:eastAsia="黑体" w:cs="Times New Roman"/>
          <w:b w:val="0"/>
          <w:bCs w:val="0"/>
          <w:color w:val="auto"/>
          <w:kern w:val="2"/>
          <w:sz w:val="32"/>
          <w:szCs w:val="32"/>
          <w:shd w:val="clear" w:color="auto" w:fill="auto"/>
          <w:lang w:val="en-US" w:eastAsia="zh-CN" w:bidi="ar-SA"/>
        </w:rPr>
        <w:t>第一章</w:t>
      </w:r>
      <w:r>
        <w:rPr>
          <w:rFonts w:hint="default" w:ascii="Times New Roman" w:hAnsi="Times New Roman" w:eastAsia="黑体" w:cs="Times New Roman"/>
          <w:b w:val="0"/>
          <w:bCs w:val="0"/>
          <w:color w:val="auto"/>
          <w:sz w:val="32"/>
          <w:szCs w:val="32"/>
          <w:highlight w:val="none"/>
          <w:u w:val="none"/>
          <w:shd w:val="clear" w:color="auto" w:fill="auto"/>
        </w:rPr>
        <w:t xml:space="preserve"> </w:t>
      </w:r>
      <w:r>
        <w:rPr>
          <w:rFonts w:hint="eastAsia" w:ascii="Times New Roman" w:hAnsi="Times New Roman" w:eastAsia="黑体" w:cs="Times New Roman"/>
          <w:b w:val="0"/>
          <w:bCs w:val="0"/>
          <w:color w:val="auto"/>
          <w:sz w:val="32"/>
          <w:szCs w:val="32"/>
          <w:highlight w:val="none"/>
          <w:u w:val="none"/>
          <w:shd w:val="clear" w:color="auto" w:fill="auto"/>
          <w:lang w:val="en-US" w:eastAsia="zh-CN"/>
        </w:rPr>
        <w:t xml:space="preserve"> </w:t>
      </w:r>
      <w:r>
        <w:rPr>
          <w:rFonts w:hint="default" w:ascii="Times New Roman" w:hAnsi="Times New Roman" w:eastAsia="黑体" w:cs="Times New Roman"/>
          <w:b w:val="0"/>
          <w:bCs w:val="0"/>
          <w:color w:val="auto"/>
          <w:sz w:val="32"/>
          <w:szCs w:val="32"/>
          <w:highlight w:val="none"/>
          <w:u w:val="none"/>
          <w:shd w:val="clear" w:color="auto" w:fill="auto"/>
        </w:rPr>
        <w:t>总</w:t>
      </w:r>
      <w:r>
        <w:rPr>
          <w:rFonts w:hint="default" w:ascii="Times New Roman" w:hAnsi="Times New Roman" w:eastAsia="黑体" w:cs="Times New Roman"/>
          <w:b w:val="0"/>
          <w:bCs w:val="0"/>
          <w:color w:val="auto"/>
          <w:sz w:val="32"/>
          <w:szCs w:val="32"/>
          <w:highlight w:val="none"/>
          <w:u w:val="none"/>
          <w:shd w:val="clear" w:color="auto" w:fill="auto"/>
          <w:lang w:val="en-US" w:eastAsia="zh-CN"/>
        </w:rPr>
        <w:t xml:space="preserve">  </w:t>
      </w:r>
      <w:r>
        <w:rPr>
          <w:rFonts w:hint="default" w:ascii="Times New Roman" w:hAnsi="Times New Roman" w:eastAsia="黑体" w:cs="Times New Roman"/>
          <w:b w:val="0"/>
          <w:bCs w:val="0"/>
          <w:color w:val="auto"/>
          <w:sz w:val="32"/>
          <w:szCs w:val="32"/>
          <w:highlight w:val="none"/>
          <w:u w:val="none"/>
          <w:shd w:val="clear" w:color="auto" w:fill="auto"/>
        </w:rPr>
        <w:t>则</w:t>
      </w:r>
    </w:p>
    <w:p w14:paraId="2D46FFE8">
      <w:pPr>
        <w:pStyle w:val="3"/>
        <w:keepNext w:val="0"/>
        <w:keepLines w:val="0"/>
        <w:pageBreakBefore w:val="0"/>
        <w:widowControl w:val="0"/>
        <w:numPr>
          <w:ilvl w:val="0"/>
          <w:numId w:val="0"/>
        </w:numPr>
        <w:kinsoku/>
        <w:wordWrap/>
        <w:autoSpaceDE/>
        <w:autoSpaceDN/>
        <w:bidi w:val="0"/>
        <w:adjustRightInd/>
        <w:snapToGrid/>
        <w:spacing w:line="560" w:lineRule="exact"/>
        <w:textAlignment w:val="auto"/>
        <w:rPr>
          <w:rFonts w:hint="default" w:ascii="Times New Roman" w:hAnsi="Times New Roman" w:cs="Times New Roman"/>
          <w:b w:val="0"/>
          <w:bCs w:val="0"/>
          <w:color w:val="auto"/>
          <w:highlight w:val="none"/>
          <w:shd w:val="clear" w:color="auto" w:fill="auto"/>
          <w:lang w:val="en-US" w:eastAsia="zh-CN"/>
        </w:rPr>
      </w:pPr>
    </w:p>
    <w:p w14:paraId="3956861B">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eastAsia="zh-CN"/>
        </w:rPr>
      </w:pPr>
      <w:r>
        <w:rPr>
          <w:rFonts w:hint="eastAsia" w:ascii="黑体" w:hAnsi="黑体" w:eastAsia="黑体" w:cs="黑体"/>
          <w:b w:val="0"/>
          <w:bCs w:val="0"/>
          <w:color w:val="auto"/>
          <w:sz w:val="32"/>
          <w:szCs w:val="32"/>
          <w:highlight w:val="none"/>
          <w:u w:val="none"/>
          <w:shd w:val="clear" w:color="auto" w:fill="auto"/>
          <w:lang w:val="en-US" w:eastAsia="zh-CN"/>
        </w:rPr>
        <w:t>第一条</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 xml:space="preserve"> 为积极稳妥推进医保基金与</w:t>
      </w:r>
      <w:r>
        <w:rPr>
          <w:rFonts w:hint="eastAsia" w:ascii="仿宋_GB2312" w:hAnsi="仿宋_GB2312" w:eastAsia="仿宋_GB2312" w:cs="仿宋_GB2312"/>
          <w:b w:val="0"/>
          <w:bCs w:val="0"/>
          <w:color w:val="auto"/>
          <w:sz w:val="32"/>
          <w:szCs w:val="32"/>
          <w:lang w:val="en-US" w:eastAsia="zh-CN"/>
        </w:rPr>
        <w:t>医药</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企业直接结算（以下简称“直接结算”）工作，优化医药产业营商环境，推动企业高质量发展，降低企业交易成本，增强集中采购药品及医用耗材供应保障能力，提高医保基金使用效率，规范直接结算参与方行为，保障医保基金安全，防范基金风险，维护直接结算参与方合法权益，现结合本省实际情况，制定本经办规程。</w:t>
      </w:r>
    </w:p>
    <w:p w14:paraId="690B1C59">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第二条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本规程适用于经由药品和医用耗材招采管理子系统（以下简称“招采子系统”）开展的药品及医用耗材集中采购活动。直接结算范围为定点医疗机构通过招采子系统购买的国家组织集中带量采购的药品、医用耗材及云胶片款项。后期直接结算范围由行政部门根据国家政策及基金状况适时调整。</w:t>
      </w:r>
    </w:p>
    <w:p w14:paraId="5E9D45A8">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第三条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依托国家（贵州）医保信息平台，运用招采子系统，结合定点医疗机构和</w:t>
      </w:r>
      <w:r>
        <w:rPr>
          <w:rFonts w:hint="eastAsia" w:ascii="仿宋_GB2312" w:hAnsi="仿宋_GB2312" w:eastAsia="仿宋_GB2312" w:cs="仿宋_GB2312"/>
          <w:b w:val="0"/>
          <w:bCs w:val="0"/>
          <w:color w:val="auto"/>
          <w:sz w:val="32"/>
          <w:szCs w:val="32"/>
          <w:lang w:val="en-US" w:eastAsia="zh-CN"/>
        </w:rPr>
        <w:t>医药</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企业的实际情况，采用“先试点、后全面”的推广策略，稳妥推进全省直接结算工作。</w:t>
      </w:r>
    </w:p>
    <w:p w14:paraId="51ACCFDA">
      <w:pPr>
        <w:pStyle w:val="2"/>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p>
    <w:p w14:paraId="7C4E6ACC">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sz w:val="32"/>
          <w:szCs w:val="32"/>
          <w:highlight w:val="none"/>
          <w:u w:val="none"/>
          <w:shd w:val="clear" w:color="auto" w:fill="auto"/>
          <w:lang w:val="en-US" w:eastAsia="zh-CN"/>
        </w:rPr>
        <w:t>第二章  适用范围</w:t>
      </w:r>
    </w:p>
    <w:p w14:paraId="0423DE41">
      <w:pPr>
        <w:pStyle w:val="3"/>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p>
    <w:p w14:paraId="343A1AFC">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第四条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直接结算实施范围。以统筹区为单位实施直接结算。</w:t>
      </w:r>
    </w:p>
    <w:p w14:paraId="6B289205">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第五条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直接结算产品范围。国家组织集中带量采购的药品及云胶片，鼓励各统筹区积极探索对其他种类的药品及医用耗材开展直接结算。</w:t>
      </w:r>
    </w:p>
    <w:p w14:paraId="33CEDA67">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第六条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直接结算企业范围。凡涉及产品被纳入直接结算产品范围的药品、医用耗材及云胶片企业（以下简称“医药企业”），与定点医疗机构进行货款结算时，均可参与直接结算。</w:t>
      </w:r>
    </w:p>
    <w:p w14:paraId="7D4037DF">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第七条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定点医疗机构范围。医保定点公立医疗机构（包括军队医疗机构）均可申请参与直接结算。同时，鼓励其他医保定点医疗机构参与直接结算。</w:t>
      </w:r>
    </w:p>
    <w:p w14:paraId="0C1267EE">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第八条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直接结算订单范围。在招采子系统中，定点医疗机构已确认收货但尚未付款的订单。集采期内未及时申报直接结算的订单，若集采期结束后30个工作日内仍未申报，则不纳入直接结算范围。</w:t>
      </w:r>
    </w:p>
    <w:p w14:paraId="58BF5351">
      <w:pPr>
        <w:keepNext w:val="0"/>
        <w:keepLines w:val="0"/>
        <w:pageBreakBefore w:val="0"/>
        <w:widowControl w:val="0"/>
        <w:kinsoku/>
        <w:wordWrap/>
        <w:overflowPunct w:val="0"/>
        <w:topLinePunct/>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p>
    <w:p w14:paraId="3FD97307">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sz w:val="32"/>
          <w:szCs w:val="32"/>
          <w:highlight w:val="none"/>
          <w:u w:val="none"/>
          <w:shd w:val="clear" w:color="auto" w:fill="auto"/>
          <w:lang w:val="en-US" w:eastAsia="zh-CN"/>
        </w:rPr>
        <w:t>第三章  操作路径</w:t>
      </w:r>
    </w:p>
    <w:p w14:paraId="5C7E3D54">
      <w:pPr>
        <w:pStyle w:val="3"/>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shd w:val="clear" w:color="auto" w:fill="auto"/>
          <w:lang w:val="en-US"/>
        </w:rPr>
      </w:pPr>
    </w:p>
    <w:p w14:paraId="1A0BA191">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第九条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签订直接结算代位委托书。医保部门接受定点医疗机构的委托，与定点医疗机构签署《医药货款直接结算代位委托书》，定点医疗机构授权医保部门代位支付的药品及医用耗材结算款项，结算款项由医保部门直接拨付至医药企业指定银行账户。</w:t>
      </w:r>
    </w:p>
    <w:p w14:paraId="28456EBC">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医药企业直接结算账户管理。医药企业直接结算账户是指由医药企业提供的用于接收直接结算款项的指定银行账户。其关键信息包括：开户户名、银行账号、开户银行、开户银行行号等基础信息。每家医药企业在招采子系统中仅限登记一个直接结算账户，由医药企业在招采子系统自行维护和变更。同时，医药企业对其提供直接结算账户的真实性、准确性、有效性承担责任。医保部门在拨付直接结算款项时，统一使用招采子系统中医药企业提供的银行账户信息。</w:t>
      </w:r>
    </w:p>
    <w:p w14:paraId="1F79B69B">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对因医药企业提供银行账户信息不准确而导致的基金拨付失败，由医药企业与定点医疗机构自行协商解决；对因医药企业提供的银行账户信息错误而导致的基金误拨付，由医药企业自行承担经济损失。</w:t>
      </w:r>
    </w:p>
    <w:p w14:paraId="403E3C52">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第十一条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医药企业发起直接结算申请。在确认订单完成后，医药企业需于每月前5个工作日内，在招采子系统中对《医药企业直接结算告知书》进行审阅并予以确认，根据招采子系统弹窗信息核定直接结算银行账户信息并确认无误后，上传定点医疗机构签收单、货款发票及随货同行单等资料。医药企业在招采子系统中准确填写信息后，发起直接结算申请。原则上，每家医药企业每月提交一次直接结算申请。</w:t>
      </w:r>
    </w:p>
    <w:p w14:paraId="4ECB870B">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第十二条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复核直接结算货款数据。定点医疗机构须对医药企业提出的直接结算申请进行复核，并在接获申请后7个工作日内，核实采购明细清单、产品入库数量、采购价格及应付货款等信息无误后，在招采子系统完成直接结算货款数据的确认。若逾期未完成确认，则视为对前述各项内容无异议。</w:t>
      </w:r>
    </w:p>
    <w:p w14:paraId="7A0E74CB">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第十三条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异议数据处理。如定点医疗机构对直接结算数据产生异议，应在收到直接结算数据后7个工作日内，填写详细原因并通过招采子系统反馈至医药企业，同步上传至医保部门备案，该笔订单款项不纳入直接结算。</w:t>
      </w:r>
    </w:p>
    <w:p w14:paraId="350F8322">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第十四条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直接结算款项拨付数据生成。医保部门在收到定点医疗机构直接结算款项确认信息后，生成当期直接结算的待确认拨付数据，</w:t>
      </w:r>
      <w:r>
        <w:rPr>
          <w:rFonts w:hint="eastAsia" w:ascii="仿宋_GB2312" w:hAnsi="仿宋_GB2312" w:eastAsia="仿宋_GB2312" w:cs="仿宋_GB2312"/>
          <w:b w:val="0"/>
          <w:bCs w:val="0"/>
          <w:strike w:val="0"/>
          <w:dstrike w:val="0"/>
          <w:color w:val="auto"/>
          <w:sz w:val="32"/>
          <w:szCs w:val="32"/>
          <w:highlight w:val="none"/>
          <w:u w:val="none"/>
          <w:shd w:val="clear" w:color="auto" w:fill="auto"/>
          <w:lang w:val="en-US" w:eastAsia="zh-CN"/>
        </w:rPr>
        <w:t>该</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数据通过招采子系统分别发送至定点医疗机构和医药企业进行待确认拨付数据的再次确认。</w:t>
      </w:r>
    </w:p>
    <w:p w14:paraId="48A0000E">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第十五条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和医药企业再次确认直接结算数据。每月20日前，定点医疗机构和医药企业在招采子系统中完成待确认拨付数据的再次确认，确认后直接结算数据不予申诉。对逾期未确认的直接结算数据，由招采子系统自动回退至未申报状态，医药企业在次月可重新发起申报。</w:t>
      </w:r>
    </w:p>
    <w:p w14:paraId="4B27A48D">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若定点医疗机构或医药企业对直接结算数据存在异议，须于每月20日前在招采子系统发起数据回退并填写回退原因，此笔订单货款不纳入当月直接结算范围。</w:t>
      </w:r>
    </w:p>
    <w:p w14:paraId="700E0E07">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第十六条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医保部门拨付直接结算款项。直接结算款项由医保部门直接拨付至医药企业，同步在招采子系统和两定系统中生成《直接结算费用拨付汇总表》和《直接结算费用明细表》，供定点医疗机构与医药企业下载、查询。当月完成基金拨付工作后，将基金拨付情况反馈至招采子系统。</w:t>
      </w:r>
    </w:p>
    <w:p w14:paraId="5CC8C8FC">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第十七条 </w:t>
      </w:r>
      <w:r>
        <w:rPr>
          <w:rFonts w:hint="eastAsia" w:ascii="仿宋_GB2312" w:hAnsi="仿宋_GB2312" w:eastAsia="仿宋_GB2312" w:cs="仿宋_GB2312"/>
          <w:b w:val="0"/>
          <w:bCs w:val="0"/>
          <w:sz w:val="32"/>
          <w:szCs w:val="32"/>
          <w:lang w:val="en-US" w:eastAsia="zh-CN"/>
        </w:rPr>
        <w:t>定点医疗机构结算款项抵扣。</w:t>
      </w:r>
      <w:r>
        <w:rPr>
          <w:rFonts w:hint="eastAsia" w:ascii="仿宋_GB2312" w:hAnsi="仿宋_GB2312" w:eastAsia="仿宋_GB2312" w:cs="仿宋_GB2312"/>
          <w:b w:val="0"/>
          <w:bCs w:val="0"/>
          <w:sz w:val="32"/>
          <w:szCs w:val="32"/>
        </w:rPr>
        <w:t>直接结算款项将从定点医疗机构的月度结算</w:t>
      </w:r>
      <w:r>
        <w:rPr>
          <w:rFonts w:hint="eastAsia" w:ascii="仿宋_GB2312" w:hAnsi="仿宋_GB2312" w:eastAsia="仿宋_GB2312" w:cs="仿宋_GB2312"/>
          <w:b w:val="0"/>
          <w:bCs w:val="0"/>
          <w:sz w:val="32"/>
          <w:szCs w:val="32"/>
          <w:lang w:val="en-US" w:eastAsia="zh-CN"/>
        </w:rPr>
        <w:t>款</w:t>
      </w:r>
      <w:r>
        <w:rPr>
          <w:rFonts w:hint="eastAsia" w:ascii="仿宋_GB2312" w:hAnsi="仿宋_GB2312" w:eastAsia="仿宋_GB2312" w:cs="仿宋_GB2312"/>
          <w:b w:val="0"/>
          <w:bCs w:val="0"/>
          <w:sz w:val="32"/>
          <w:szCs w:val="32"/>
        </w:rPr>
        <w:t>中</w:t>
      </w:r>
      <w:r>
        <w:rPr>
          <w:rFonts w:hint="eastAsia" w:ascii="仿宋_GB2312" w:hAnsi="仿宋_GB2312" w:eastAsia="仿宋_GB2312" w:cs="仿宋_GB2312"/>
          <w:b w:val="0"/>
          <w:bCs w:val="0"/>
          <w:sz w:val="32"/>
          <w:szCs w:val="32"/>
          <w:lang w:val="en-US" w:eastAsia="zh-CN"/>
        </w:rPr>
        <w:t>予以</w:t>
      </w:r>
      <w:r>
        <w:rPr>
          <w:rFonts w:hint="eastAsia" w:ascii="仿宋_GB2312" w:hAnsi="仿宋_GB2312" w:eastAsia="仿宋_GB2312" w:cs="仿宋_GB2312"/>
          <w:b w:val="0"/>
          <w:bCs w:val="0"/>
          <w:sz w:val="32"/>
          <w:szCs w:val="32"/>
        </w:rPr>
        <w:t>扣除，</w:t>
      </w:r>
      <w:r>
        <w:rPr>
          <w:rFonts w:hint="eastAsia" w:ascii="仿宋_GB2312" w:hAnsi="仿宋_GB2312" w:eastAsia="仿宋_GB2312" w:cs="仿宋_GB2312"/>
          <w:b w:val="0"/>
          <w:bCs w:val="0"/>
          <w:sz w:val="32"/>
          <w:szCs w:val="32"/>
          <w:lang w:val="en-US" w:eastAsia="zh-CN"/>
        </w:rPr>
        <w:t>若定点医疗机构月度结算款不足以</w:t>
      </w:r>
      <w:r>
        <w:rPr>
          <w:rFonts w:hint="eastAsia" w:ascii="仿宋_GB2312" w:hAnsi="仿宋_GB2312" w:eastAsia="仿宋_GB2312" w:cs="仿宋_GB2312"/>
          <w:b w:val="0"/>
          <w:bCs w:val="0"/>
          <w:sz w:val="32"/>
          <w:szCs w:val="32"/>
          <w:highlight w:val="none"/>
          <w:lang w:val="en-US" w:eastAsia="zh-CN"/>
        </w:rPr>
        <w:t>抵扣当月直接结算款项时，医保部门将暂停该定点医疗机构即时结算拨付，并从后</w:t>
      </w:r>
      <w:r>
        <w:rPr>
          <w:rFonts w:hint="eastAsia" w:ascii="仿宋_GB2312" w:hAnsi="仿宋_GB2312" w:eastAsia="仿宋_GB2312" w:cs="仿宋_GB2312"/>
          <w:b w:val="0"/>
          <w:bCs w:val="0"/>
          <w:sz w:val="32"/>
          <w:szCs w:val="32"/>
          <w:lang w:val="en-US" w:eastAsia="zh-CN"/>
        </w:rPr>
        <w:t>续月度结算款中继续抵扣，直至全部抵扣完。</w:t>
      </w:r>
    </w:p>
    <w:p w14:paraId="1A0B7DCF">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rPr>
      </w:pPr>
      <w:r>
        <w:rPr>
          <w:rFonts w:hint="eastAsia" w:ascii="黑体" w:hAnsi="黑体" w:eastAsia="黑体" w:cs="黑体"/>
          <w:b w:val="0"/>
          <w:bCs w:val="0"/>
          <w:color w:val="auto"/>
          <w:kern w:val="2"/>
          <w:sz w:val="32"/>
          <w:szCs w:val="32"/>
          <w:shd w:val="clear" w:color="auto" w:fill="auto"/>
          <w:lang w:val="en-US" w:eastAsia="zh-CN" w:bidi="ar-SA"/>
        </w:rPr>
        <w:t xml:space="preserve">第十八条 </w:t>
      </w:r>
      <w:r>
        <w:rPr>
          <w:rFonts w:hint="eastAsia" w:ascii="仿宋_GB2312" w:hAnsi="仿宋_GB2312" w:eastAsia="仿宋_GB2312" w:cs="仿宋_GB2312"/>
          <w:b w:val="0"/>
          <w:bCs w:val="0"/>
          <w:color w:val="auto"/>
          <w:sz w:val="32"/>
          <w:szCs w:val="32"/>
          <w:highlight w:val="none"/>
          <w:u w:val="none"/>
          <w:shd w:val="clear" w:color="auto" w:fill="auto"/>
        </w:rPr>
        <w:t>差价处理。</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定点医疗机构与医药企业因对账异常、运输损耗、商品退换、价格调整等产生的直接结算金额差异，由双方自行协商解决。</w:t>
      </w:r>
    </w:p>
    <w:p w14:paraId="37DF2B7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val="0"/>
          <w:color w:val="auto"/>
          <w:spacing w:val="-6"/>
          <w:kern w:val="2"/>
          <w:sz w:val="32"/>
          <w:szCs w:val="32"/>
          <w:highlight w:val="none"/>
          <w:shd w:val="clear" w:color="auto" w:fill="auto"/>
          <w:lang w:val="en-US" w:eastAsia="zh-CN"/>
        </w:rPr>
      </w:pPr>
    </w:p>
    <w:p w14:paraId="602324F1">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shd w:val="clear" w:color="auto" w:fill="auto"/>
        </w:rPr>
      </w:pPr>
      <w:r>
        <w:rPr>
          <w:rFonts w:hint="eastAsia" w:ascii="黑体" w:hAnsi="黑体" w:eastAsia="黑体" w:cs="黑体"/>
          <w:b w:val="0"/>
          <w:bCs w:val="0"/>
          <w:color w:val="auto"/>
          <w:sz w:val="32"/>
          <w:szCs w:val="32"/>
          <w:highlight w:val="none"/>
          <w:u w:val="none"/>
          <w:shd w:val="clear" w:color="auto" w:fill="auto"/>
        </w:rPr>
        <w:t>第</w:t>
      </w:r>
      <w:r>
        <w:rPr>
          <w:rFonts w:hint="eastAsia" w:ascii="黑体" w:hAnsi="黑体" w:eastAsia="黑体" w:cs="黑体"/>
          <w:b w:val="0"/>
          <w:bCs w:val="0"/>
          <w:color w:val="auto"/>
          <w:sz w:val="32"/>
          <w:szCs w:val="32"/>
          <w:highlight w:val="none"/>
          <w:u w:val="none"/>
          <w:shd w:val="clear" w:color="auto" w:fill="auto"/>
          <w:lang w:val="en-US" w:eastAsia="zh-CN"/>
        </w:rPr>
        <w:t>四</w:t>
      </w:r>
      <w:r>
        <w:rPr>
          <w:rFonts w:hint="eastAsia" w:ascii="黑体" w:hAnsi="黑体" w:eastAsia="黑体" w:cs="黑体"/>
          <w:b w:val="0"/>
          <w:bCs w:val="0"/>
          <w:color w:val="auto"/>
          <w:sz w:val="32"/>
          <w:szCs w:val="32"/>
          <w:highlight w:val="none"/>
          <w:u w:val="none"/>
          <w:shd w:val="clear" w:color="auto" w:fill="auto"/>
        </w:rPr>
        <w:t>章  监督管理</w:t>
      </w:r>
    </w:p>
    <w:p w14:paraId="3A1B1986">
      <w:pPr>
        <w:keepNext w:val="0"/>
        <w:keepLines w:val="0"/>
        <w:pageBreakBefore w:val="0"/>
        <w:widowControl w:val="0"/>
        <w:numPr>
          <w:ilvl w:val="0"/>
          <w:numId w:val="0"/>
        </w:numPr>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u w:val="none"/>
          <w:shd w:val="clear" w:color="auto" w:fill="auto"/>
        </w:rPr>
      </w:pPr>
    </w:p>
    <w:p w14:paraId="72ADF957">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rPr>
      </w:pPr>
      <w:r>
        <w:rPr>
          <w:rFonts w:hint="eastAsia" w:ascii="黑体" w:hAnsi="黑体" w:eastAsia="黑体" w:cs="黑体"/>
          <w:b w:val="0"/>
          <w:bCs w:val="0"/>
          <w:color w:val="auto"/>
          <w:kern w:val="2"/>
          <w:sz w:val="32"/>
          <w:szCs w:val="32"/>
          <w:shd w:val="clear" w:color="auto" w:fill="auto"/>
          <w:lang w:val="en-US" w:eastAsia="zh-CN" w:bidi="ar-SA"/>
        </w:rPr>
        <w:t xml:space="preserve">第十九条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每批集采协议期结束后，医保部门将不定期审查参与直接结算的定点医疗机构相关集中采购中选药品及医用耗材的使用状况。同时，医保部门将抽查定点医疗机构与医药企业间直接结算的相关票据及资金流动，对涉嫌违规和套取医疗保险基金的行为，将依据《中华人民共和国社会保险法》《</w:t>
      </w:r>
      <w:r>
        <w:rPr>
          <w:rFonts w:hint="eastAsia" w:ascii="仿宋_GB2312" w:hAnsi="仿宋_GB2312" w:eastAsia="仿宋_GB2312" w:cs="仿宋_GB2312"/>
          <w:b w:val="0"/>
          <w:bCs w:val="0"/>
          <w:color w:val="auto"/>
          <w:spacing w:val="-6"/>
          <w:kern w:val="2"/>
          <w:sz w:val="32"/>
          <w:szCs w:val="32"/>
          <w:highlight w:val="none"/>
          <w:u w:val="none"/>
          <w:shd w:val="clear" w:color="auto" w:fill="auto"/>
          <w:lang w:val="en-US" w:eastAsia="zh-CN" w:bidi="ar"/>
        </w:rPr>
        <w:t>医疗保障基金使用监督管理条例</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w:t>
      </w:r>
      <w:r>
        <w:rPr>
          <w:rFonts w:hint="eastAsia" w:ascii="仿宋_GB2312" w:hAnsi="仿宋_GB2312" w:eastAsia="仿宋_GB2312" w:cs="仿宋_GB2312"/>
          <w:b w:val="0"/>
          <w:bCs w:val="0"/>
          <w:color w:val="auto"/>
          <w:spacing w:val="-6"/>
          <w:kern w:val="2"/>
          <w:sz w:val="32"/>
          <w:szCs w:val="32"/>
          <w:highlight w:val="none"/>
          <w:u w:val="none"/>
          <w:shd w:val="clear" w:color="auto" w:fill="auto"/>
          <w:lang w:val="en-US" w:eastAsia="zh-CN" w:bidi="ar"/>
        </w:rPr>
        <w:t>医疗保障定点医疗机构服务协议</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》等相关规定予以处罚。</w:t>
      </w:r>
    </w:p>
    <w:p w14:paraId="5EAC9D54">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rPr>
      </w:pPr>
      <w:r>
        <w:rPr>
          <w:rFonts w:hint="eastAsia" w:ascii="黑体" w:hAnsi="黑体" w:eastAsia="黑体" w:cs="黑体"/>
          <w:b w:val="0"/>
          <w:bCs w:val="0"/>
          <w:color w:val="auto"/>
          <w:kern w:val="2"/>
          <w:sz w:val="32"/>
          <w:szCs w:val="32"/>
          <w:shd w:val="clear" w:color="auto" w:fill="auto"/>
          <w:lang w:val="en-US" w:eastAsia="zh-CN" w:bidi="ar-SA"/>
        </w:rPr>
        <w:t xml:space="preserve">第二十条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定点医疗机构使用自建系统，应在相关接口中预留直接结算和追溯码接口，保证相关工作不受影响</w:t>
      </w:r>
      <w:r>
        <w:rPr>
          <w:rFonts w:hint="eastAsia" w:ascii="仿宋_GB2312" w:hAnsi="仿宋_GB2312" w:eastAsia="仿宋_GB2312" w:cs="仿宋_GB2312"/>
          <w:b w:val="0"/>
          <w:bCs w:val="0"/>
          <w:color w:val="auto"/>
          <w:sz w:val="32"/>
          <w:szCs w:val="32"/>
          <w:highlight w:val="none"/>
          <w:u w:val="none"/>
          <w:shd w:val="clear" w:color="auto" w:fill="auto"/>
        </w:rPr>
        <w:t>。</w:t>
      </w:r>
    </w:p>
    <w:p w14:paraId="0C335D4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val="0"/>
          <w:color w:val="auto"/>
          <w:spacing w:val="-6"/>
          <w:kern w:val="2"/>
          <w:sz w:val="32"/>
          <w:szCs w:val="32"/>
          <w:highlight w:val="none"/>
          <w:shd w:val="clear" w:color="auto" w:fill="auto"/>
          <w:lang w:val="en-US" w:eastAsia="zh-CN"/>
        </w:rPr>
      </w:pPr>
    </w:p>
    <w:p w14:paraId="2AE5CC6D">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sz w:val="32"/>
          <w:szCs w:val="32"/>
          <w:highlight w:val="none"/>
          <w:u w:val="none"/>
          <w:shd w:val="clear" w:color="auto" w:fill="auto"/>
        </w:rPr>
        <w:t>第</w:t>
      </w:r>
      <w:r>
        <w:rPr>
          <w:rFonts w:hint="eastAsia" w:ascii="黑体" w:hAnsi="黑体" w:eastAsia="黑体" w:cs="黑体"/>
          <w:b w:val="0"/>
          <w:bCs w:val="0"/>
          <w:color w:val="auto"/>
          <w:sz w:val="32"/>
          <w:szCs w:val="32"/>
          <w:highlight w:val="none"/>
          <w:u w:val="none"/>
          <w:shd w:val="clear" w:color="auto" w:fill="auto"/>
          <w:lang w:val="en-US" w:eastAsia="zh-CN"/>
        </w:rPr>
        <w:t>五</w:t>
      </w:r>
      <w:r>
        <w:rPr>
          <w:rFonts w:hint="eastAsia" w:ascii="黑体" w:hAnsi="黑体" w:eastAsia="黑体" w:cs="黑体"/>
          <w:b w:val="0"/>
          <w:bCs w:val="0"/>
          <w:color w:val="auto"/>
          <w:sz w:val="32"/>
          <w:szCs w:val="32"/>
          <w:highlight w:val="none"/>
          <w:u w:val="none"/>
          <w:shd w:val="clear" w:color="auto" w:fill="auto"/>
        </w:rPr>
        <w:t xml:space="preserve">章  </w:t>
      </w:r>
      <w:r>
        <w:rPr>
          <w:rFonts w:hint="eastAsia" w:ascii="黑体" w:hAnsi="黑体" w:eastAsia="黑体" w:cs="黑体"/>
          <w:b w:val="0"/>
          <w:bCs w:val="0"/>
          <w:color w:val="auto"/>
          <w:sz w:val="32"/>
          <w:szCs w:val="32"/>
          <w:highlight w:val="none"/>
          <w:u w:val="none"/>
          <w:shd w:val="clear" w:color="auto" w:fill="auto"/>
          <w:lang w:val="en-US" w:eastAsia="zh-CN"/>
        </w:rPr>
        <w:t>财务核算</w:t>
      </w:r>
    </w:p>
    <w:p w14:paraId="27F63CD7">
      <w:pPr>
        <w:pStyle w:val="3"/>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p>
    <w:p w14:paraId="29BDFAB0">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rPr>
      </w:pPr>
      <w:r>
        <w:rPr>
          <w:rFonts w:hint="eastAsia" w:ascii="黑体" w:hAnsi="黑体" w:eastAsia="黑体" w:cs="黑体"/>
          <w:b w:val="0"/>
          <w:bCs w:val="0"/>
          <w:color w:val="auto"/>
          <w:kern w:val="2"/>
          <w:sz w:val="32"/>
          <w:szCs w:val="32"/>
          <w:shd w:val="clear" w:color="auto" w:fill="auto"/>
          <w:lang w:val="en-US" w:eastAsia="zh-CN" w:bidi="ar-SA"/>
        </w:rPr>
        <w:t xml:space="preserve">第二十一条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医保部门在核算直接结算款项时，按照《集采药品和医用耗材直接结算拨付单》中确定的基金支付项目进行会计核算，作为“社会保险待遇支出”列支。</w:t>
      </w:r>
    </w:p>
    <w:p w14:paraId="73622D19">
      <w:pPr>
        <w:pStyle w:val="2"/>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p>
    <w:p w14:paraId="0139C9C4">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shd w:val="clear" w:color="auto" w:fill="auto"/>
        </w:rPr>
      </w:pPr>
      <w:r>
        <w:rPr>
          <w:rFonts w:hint="eastAsia" w:ascii="黑体" w:hAnsi="黑体" w:eastAsia="黑体" w:cs="黑体"/>
          <w:b w:val="0"/>
          <w:bCs w:val="0"/>
          <w:color w:val="auto"/>
          <w:sz w:val="32"/>
          <w:szCs w:val="32"/>
          <w:highlight w:val="none"/>
          <w:u w:val="none"/>
          <w:shd w:val="clear" w:color="auto" w:fill="auto"/>
        </w:rPr>
        <w:t>第</w:t>
      </w:r>
      <w:r>
        <w:rPr>
          <w:rFonts w:hint="eastAsia" w:ascii="黑体" w:hAnsi="黑体" w:eastAsia="黑体" w:cs="黑体"/>
          <w:b w:val="0"/>
          <w:bCs w:val="0"/>
          <w:color w:val="auto"/>
          <w:sz w:val="32"/>
          <w:szCs w:val="32"/>
          <w:highlight w:val="none"/>
          <w:u w:val="none"/>
          <w:shd w:val="clear" w:color="auto" w:fill="auto"/>
          <w:lang w:val="en-US" w:eastAsia="zh-CN"/>
        </w:rPr>
        <w:t>六</w:t>
      </w:r>
      <w:r>
        <w:rPr>
          <w:rFonts w:hint="eastAsia" w:ascii="黑体" w:hAnsi="黑体" w:eastAsia="黑体" w:cs="黑体"/>
          <w:b w:val="0"/>
          <w:bCs w:val="0"/>
          <w:color w:val="auto"/>
          <w:sz w:val="32"/>
          <w:szCs w:val="32"/>
          <w:highlight w:val="none"/>
          <w:u w:val="none"/>
          <w:shd w:val="clear" w:color="auto" w:fill="auto"/>
        </w:rPr>
        <w:t>章  附</w:t>
      </w:r>
      <w:r>
        <w:rPr>
          <w:rFonts w:hint="eastAsia" w:ascii="黑体" w:hAnsi="黑体" w:eastAsia="黑体" w:cs="黑体"/>
          <w:b w:val="0"/>
          <w:bCs w:val="0"/>
          <w:color w:val="auto"/>
          <w:sz w:val="32"/>
          <w:szCs w:val="32"/>
          <w:highlight w:val="none"/>
          <w:u w:val="none"/>
          <w:shd w:val="clear" w:color="auto" w:fill="auto"/>
          <w:lang w:val="en-US" w:eastAsia="zh-CN"/>
        </w:rPr>
        <w:t xml:space="preserve">  </w:t>
      </w:r>
      <w:r>
        <w:rPr>
          <w:rFonts w:hint="eastAsia" w:ascii="黑体" w:hAnsi="黑体" w:eastAsia="黑体" w:cs="黑体"/>
          <w:b w:val="0"/>
          <w:bCs w:val="0"/>
          <w:color w:val="auto"/>
          <w:sz w:val="32"/>
          <w:szCs w:val="32"/>
          <w:highlight w:val="none"/>
          <w:u w:val="none"/>
          <w:shd w:val="clear" w:color="auto" w:fill="auto"/>
        </w:rPr>
        <w:t>则</w:t>
      </w:r>
    </w:p>
    <w:p w14:paraId="2A0B8E6B">
      <w:pPr>
        <w:pStyle w:val="3"/>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shd w:val="clear" w:color="auto" w:fill="auto"/>
        </w:rPr>
      </w:pPr>
    </w:p>
    <w:p w14:paraId="64E3FD81">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第二十二条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贵阳贵安市域内定点医疗机构直接结算工作由贵州省医疗保障事务中心与贵阳市医疗保险费用结算中心协商处理</w:t>
      </w:r>
      <w:r>
        <w:rPr>
          <w:rFonts w:hint="eastAsia" w:ascii="仿宋_GB2312" w:hAnsi="仿宋_GB2312" w:eastAsia="仿宋_GB2312" w:cs="仿宋_GB2312"/>
          <w:b w:val="0"/>
          <w:bCs w:val="0"/>
          <w:color w:val="auto"/>
          <w:sz w:val="32"/>
          <w:szCs w:val="32"/>
          <w:highlight w:val="none"/>
          <w:u w:val="none"/>
          <w:shd w:val="clear" w:color="auto" w:fill="auto"/>
        </w:rPr>
        <w:t>。</w:t>
      </w:r>
    </w:p>
    <w:p w14:paraId="0ABE49A1">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第二十三条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结合直接结算工作实际，可对定点医疗机构即时结算拨付比例适时调整，确保基金安全</w:t>
      </w:r>
      <w:r>
        <w:rPr>
          <w:rFonts w:hint="eastAsia" w:ascii="仿宋_GB2312" w:hAnsi="仿宋_GB2312" w:eastAsia="仿宋_GB2312" w:cs="仿宋_GB2312"/>
          <w:b w:val="0"/>
          <w:bCs w:val="0"/>
          <w:color w:val="auto"/>
          <w:sz w:val="32"/>
          <w:szCs w:val="32"/>
          <w:highlight w:val="none"/>
          <w:u w:val="none"/>
          <w:shd w:val="clear" w:color="auto" w:fill="auto"/>
        </w:rPr>
        <w:t>。</w:t>
      </w:r>
    </w:p>
    <w:p w14:paraId="1055C63D">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rPr>
      </w:pPr>
      <w:r>
        <w:rPr>
          <w:rFonts w:hint="eastAsia" w:ascii="黑体" w:hAnsi="黑体" w:eastAsia="黑体" w:cs="黑体"/>
          <w:b w:val="0"/>
          <w:bCs w:val="0"/>
          <w:color w:val="auto"/>
          <w:kern w:val="2"/>
          <w:sz w:val="32"/>
          <w:szCs w:val="32"/>
          <w:shd w:val="clear" w:color="auto" w:fill="auto"/>
          <w:lang w:val="en-US" w:eastAsia="zh-CN" w:bidi="ar-SA"/>
        </w:rPr>
        <w:t xml:space="preserve">第二十四条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本经办规程未明确事项，暂按各统筹地区现行有关规定执行。国家及省有新规定的，从其规定。</w:t>
      </w:r>
    </w:p>
    <w:p w14:paraId="30458433">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shd w:val="clear" w:color="auto" w:fill="auto"/>
          <w:lang w:val="en-US" w:eastAsia="zh-CN" w:bidi="ar-SA"/>
        </w:rPr>
        <w:t xml:space="preserve">第二十五条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本经办规程由贵州省医疗保障事务中心负责解释。</w:t>
      </w:r>
    </w:p>
    <w:p w14:paraId="5D84C8DD">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shd w:val="clear" w:color="auto" w:fill="auto"/>
          <w:lang w:val="en-US" w:eastAsia="zh-CN"/>
        </w:rPr>
      </w:pPr>
      <w:r>
        <w:rPr>
          <w:rFonts w:hint="eastAsia" w:ascii="黑体" w:hAnsi="黑体" w:eastAsia="黑体" w:cs="黑体"/>
          <w:b w:val="0"/>
          <w:bCs w:val="0"/>
          <w:color w:val="auto"/>
          <w:spacing w:val="0"/>
          <w:kern w:val="2"/>
          <w:sz w:val="32"/>
          <w:szCs w:val="32"/>
          <w:shd w:val="clear" w:color="auto" w:fill="auto"/>
          <w:lang w:val="en-US" w:eastAsia="zh-CN" w:bidi="ar-SA"/>
        </w:rPr>
        <w:t xml:space="preserve">第二十六条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本经办规程从印发之日起执行。</w:t>
      </w:r>
    </w:p>
    <w:p w14:paraId="4D55B7CB">
      <w:pPr>
        <w:keepNext w:val="0"/>
        <w:keepLines w:val="0"/>
        <w:pageBreakBefore w:val="0"/>
        <w:widowControl w:val="0"/>
        <w:numPr>
          <w:ilvl w:val="0"/>
          <w:numId w:val="0"/>
        </w:numPr>
        <w:kinsoku/>
        <w:wordWrap/>
        <w:autoSpaceDE/>
        <w:autoSpaceDN/>
        <w:bidi w:val="0"/>
        <w:snapToGrid/>
        <w:spacing w:line="540" w:lineRule="exact"/>
        <w:jc w:val="both"/>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p>
    <w:p w14:paraId="58D6C7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03C6CE-F7A7-4E58-B99D-68C19E8180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1A4FC6-85C4-4791-AD90-2A8D28F601B9}"/>
  </w:font>
  <w:font w:name="方正小标宋简体">
    <w:panose1 w:val="02010600010101010101"/>
    <w:charset w:val="86"/>
    <w:family w:val="auto"/>
    <w:pitch w:val="default"/>
    <w:sig w:usb0="00000001" w:usb1="080E0000" w:usb2="00000000" w:usb3="00000000" w:csb0="00040000" w:csb1="00000000"/>
    <w:embedRegular r:id="rId3" w:fontKey="{8F16A830-EA44-4FDA-B41F-C6CD9991D95F}"/>
  </w:font>
  <w:font w:name="仿宋_GB2312">
    <w:altName w:val="仿宋"/>
    <w:panose1 w:val="02010609030101010101"/>
    <w:charset w:val="86"/>
    <w:family w:val="auto"/>
    <w:pitch w:val="default"/>
    <w:sig w:usb0="00000000" w:usb1="00000000" w:usb2="00000000" w:usb3="00000000" w:csb0="00040000" w:csb1="00000000"/>
    <w:embedRegular r:id="rId4" w:fontKey="{3BCC0C69-FA7E-4906-9339-A50175D1E6A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66575"/>
    <w:rsid w:val="4BF6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2026-01-15T02:18:00Z</dcterms:created>
  <dc:creator>明明你</dc:creator>
  <cp:lastModifiedBy>明明你</cp:lastModifiedBy>
  <dcterms:modified xsi:type="dcterms:W3CDTF">2026-01-15T02:18:34Z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931D3FF6AABE418A8135E880DAC7966B_11</vt:lpwstr>
  </property>
  <property fmtid="{D5CDD505-2E9C-101B-9397-08002B2CF9AE}" pid="4" name="KSOTemplateDocerSaveRecord">
    <vt:lpwstr>eyJoZGlkIjoiZjRmMzdkOWI5ODVkYmU1YzY1MWVlOTA4NjIwYzRkNjQiLCJ1c2VySWQiOiI0MzkxMjc2NjUifQ==</vt:lpwstr>
  </property>
</Properties>
</file>